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FD89B1" w14:textId="77777777" w:rsidR="005315E0" w:rsidRPr="005315E0" w:rsidRDefault="005315E0" w:rsidP="005315E0">
      <w:pPr>
        <w:shd w:val="clear" w:color="auto" w:fill="FFFFFF"/>
        <w:spacing w:after="0" w:line="240" w:lineRule="auto"/>
        <w:outlineLvl w:val="0"/>
        <w:rPr>
          <w:rFonts w:ascii="Noto Sans" w:eastAsia="Times New Roman" w:hAnsi="Noto Sans" w:cs="Noto Sans"/>
          <w:caps/>
          <w:color w:val="171617"/>
          <w:spacing w:val="10"/>
          <w:kern w:val="36"/>
          <w:sz w:val="48"/>
          <w:szCs w:val="48"/>
          <w:lang w:val="en-IE" w:eastAsia="en-IE"/>
        </w:rPr>
      </w:pPr>
      <w:r w:rsidRPr="005315E0">
        <w:rPr>
          <w:rFonts w:ascii="Noto Sans" w:eastAsia="Times New Roman" w:hAnsi="Noto Sans" w:cs="Noto Sans"/>
          <w:caps/>
          <w:color w:val="171617"/>
          <w:spacing w:val="10"/>
          <w:kern w:val="36"/>
          <w:sz w:val="48"/>
          <w:szCs w:val="48"/>
          <w:lang w:val="en-IE" w:eastAsia="en-IE"/>
        </w:rPr>
        <w:t>BALLYMORRIS: CHILDREN’S BURIAL GROUND</w:t>
      </w:r>
    </w:p>
    <w:p w14:paraId="1797FA6F" w14:textId="77777777" w:rsidR="005315E0" w:rsidRPr="005315E0" w:rsidRDefault="005315E0" w:rsidP="005315E0">
      <w:pPr>
        <w:shd w:val="clear" w:color="auto" w:fill="FFFFFF"/>
        <w:spacing w:line="240" w:lineRule="auto"/>
        <w:rPr>
          <w:rFonts w:ascii="Roboto" w:eastAsia="Times New Roman" w:hAnsi="Roboto" w:cs="Times New Roman"/>
          <w:color w:val="3E3F40"/>
          <w:sz w:val="24"/>
          <w:szCs w:val="24"/>
          <w:lang w:val="en-IE" w:eastAsia="en-IE"/>
        </w:rPr>
      </w:pPr>
      <w:r w:rsidRPr="005315E0">
        <w:rPr>
          <w:rFonts w:ascii="Roboto" w:eastAsia="Times New Roman" w:hAnsi="Roboto" w:cs="Times New Roman"/>
          <w:noProof/>
          <w:color w:val="3E3F40"/>
          <w:sz w:val="24"/>
          <w:szCs w:val="24"/>
          <w:lang w:val="en-IE" w:eastAsia="en-IE"/>
        </w:rPr>
        <w:drawing>
          <wp:inline distT="0" distB="0" distL="0" distR="0" wp14:anchorId="1816C663" wp14:editId="3CC57FFC">
            <wp:extent cx="9753600" cy="64770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753600" cy="6477000"/>
                    </a:xfrm>
                    <a:prstGeom prst="rect">
                      <a:avLst/>
                    </a:prstGeom>
                    <a:noFill/>
                    <a:ln>
                      <a:noFill/>
                    </a:ln>
                  </pic:spPr>
                </pic:pic>
              </a:graphicData>
            </a:graphic>
          </wp:inline>
        </w:drawing>
      </w:r>
    </w:p>
    <w:p w14:paraId="3C6F3177" w14:textId="77777777" w:rsidR="005315E0" w:rsidRPr="005315E0" w:rsidRDefault="005315E0" w:rsidP="005315E0">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5315E0">
        <w:rPr>
          <w:rFonts w:ascii="Roboto" w:eastAsia="Times New Roman" w:hAnsi="Roboto" w:cs="Times New Roman"/>
          <w:color w:val="3E3F40"/>
          <w:sz w:val="24"/>
          <w:szCs w:val="24"/>
          <w:lang w:val="en-IE" w:eastAsia="en-IE"/>
        </w:rPr>
        <w:t>The children’s burial ground (</w:t>
      </w:r>
      <w:proofErr w:type="spellStart"/>
      <w:r w:rsidRPr="005315E0">
        <w:rPr>
          <w:rFonts w:ascii="Roboto" w:eastAsia="Times New Roman" w:hAnsi="Roboto" w:cs="Times New Roman"/>
          <w:color w:val="3E3F40"/>
          <w:sz w:val="24"/>
          <w:szCs w:val="24"/>
          <w:lang w:val="en-IE" w:eastAsia="en-IE"/>
        </w:rPr>
        <w:t>cillín</w:t>
      </w:r>
      <w:proofErr w:type="spellEnd"/>
      <w:r w:rsidRPr="005315E0">
        <w:rPr>
          <w:rFonts w:ascii="Roboto" w:eastAsia="Times New Roman" w:hAnsi="Roboto" w:cs="Times New Roman"/>
          <w:color w:val="3E3F40"/>
          <w:sz w:val="24"/>
          <w:szCs w:val="24"/>
          <w:lang w:val="en-IE" w:eastAsia="en-IE"/>
        </w:rPr>
        <w:t xml:space="preserve">) at </w:t>
      </w:r>
      <w:proofErr w:type="spellStart"/>
      <w:r w:rsidRPr="005315E0">
        <w:rPr>
          <w:rFonts w:ascii="Roboto" w:eastAsia="Times New Roman" w:hAnsi="Roboto" w:cs="Times New Roman"/>
          <w:color w:val="3E3F40"/>
          <w:sz w:val="24"/>
          <w:szCs w:val="24"/>
          <w:lang w:val="en-IE" w:eastAsia="en-IE"/>
        </w:rPr>
        <w:t>Ballymorris</w:t>
      </w:r>
      <w:proofErr w:type="spellEnd"/>
      <w:r w:rsidRPr="005315E0">
        <w:rPr>
          <w:rFonts w:ascii="Roboto" w:eastAsia="Times New Roman" w:hAnsi="Roboto" w:cs="Times New Roman"/>
          <w:color w:val="3E3F40"/>
          <w:sz w:val="24"/>
          <w:szCs w:val="24"/>
          <w:lang w:val="en-IE" w:eastAsia="en-IE"/>
        </w:rPr>
        <w:t xml:space="preserve"> (WX031-057), Co. Wexford is located in a very large arable field near the summit of a low hill. It survives as a small mound of overgrown stones and earth, which measures c. 4 wide by 6m long by 1m high. Children’s burial grounds are known by various names such as, </w:t>
      </w:r>
      <w:proofErr w:type="spellStart"/>
      <w:r w:rsidRPr="005315E0">
        <w:rPr>
          <w:rFonts w:ascii="Roboto" w:eastAsia="Times New Roman" w:hAnsi="Roboto" w:cs="Times New Roman"/>
          <w:color w:val="3E3F40"/>
          <w:sz w:val="24"/>
          <w:szCs w:val="24"/>
          <w:lang w:val="en-IE" w:eastAsia="en-IE"/>
        </w:rPr>
        <w:t>cillín</w:t>
      </w:r>
      <w:proofErr w:type="spellEnd"/>
      <w:r w:rsidRPr="005315E0">
        <w:rPr>
          <w:rFonts w:ascii="Roboto" w:eastAsia="Times New Roman" w:hAnsi="Roboto" w:cs="Times New Roman"/>
          <w:color w:val="3E3F40"/>
          <w:sz w:val="24"/>
          <w:szCs w:val="24"/>
          <w:lang w:val="en-IE" w:eastAsia="en-IE"/>
        </w:rPr>
        <w:t>/</w:t>
      </w:r>
      <w:proofErr w:type="spellStart"/>
      <w:r w:rsidRPr="005315E0">
        <w:rPr>
          <w:rFonts w:ascii="Roboto" w:eastAsia="Times New Roman" w:hAnsi="Roboto" w:cs="Times New Roman"/>
          <w:color w:val="3E3F40"/>
          <w:sz w:val="24"/>
          <w:szCs w:val="24"/>
          <w:lang w:val="en-IE" w:eastAsia="en-IE"/>
        </w:rPr>
        <w:t>killeen</w:t>
      </w:r>
      <w:proofErr w:type="spellEnd"/>
      <w:r w:rsidRPr="005315E0">
        <w:rPr>
          <w:rFonts w:ascii="Roboto" w:eastAsia="Times New Roman" w:hAnsi="Roboto" w:cs="Times New Roman"/>
          <w:color w:val="3E3F40"/>
          <w:sz w:val="24"/>
          <w:szCs w:val="24"/>
          <w:lang w:val="en-IE" w:eastAsia="en-IE"/>
        </w:rPr>
        <w:t xml:space="preserve">, </w:t>
      </w:r>
      <w:proofErr w:type="spellStart"/>
      <w:r w:rsidRPr="005315E0">
        <w:rPr>
          <w:rFonts w:ascii="Roboto" w:eastAsia="Times New Roman" w:hAnsi="Roboto" w:cs="Times New Roman"/>
          <w:color w:val="3E3F40"/>
          <w:sz w:val="24"/>
          <w:szCs w:val="24"/>
          <w:lang w:val="en-IE" w:eastAsia="en-IE"/>
        </w:rPr>
        <w:t>calluragh</w:t>
      </w:r>
      <w:proofErr w:type="spellEnd"/>
      <w:r w:rsidRPr="005315E0">
        <w:rPr>
          <w:rFonts w:ascii="Roboto" w:eastAsia="Times New Roman" w:hAnsi="Roboto" w:cs="Times New Roman"/>
          <w:color w:val="3E3F40"/>
          <w:sz w:val="24"/>
          <w:szCs w:val="24"/>
          <w:lang w:val="en-IE" w:eastAsia="en-IE"/>
        </w:rPr>
        <w:t>/</w:t>
      </w:r>
      <w:proofErr w:type="spellStart"/>
      <w:r w:rsidRPr="005315E0">
        <w:rPr>
          <w:rFonts w:ascii="Roboto" w:eastAsia="Times New Roman" w:hAnsi="Roboto" w:cs="Times New Roman"/>
          <w:color w:val="3E3F40"/>
          <w:sz w:val="24"/>
          <w:szCs w:val="24"/>
          <w:lang w:val="en-IE" w:eastAsia="en-IE"/>
        </w:rPr>
        <w:t>ceallunach</w:t>
      </w:r>
      <w:proofErr w:type="spellEnd"/>
      <w:r w:rsidRPr="005315E0">
        <w:rPr>
          <w:rFonts w:ascii="Roboto" w:eastAsia="Times New Roman" w:hAnsi="Roboto" w:cs="Times New Roman"/>
          <w:color w:val="3E3F40"/>
          <w:sz w:val="24"/>
          <w:szCs w:val="24"/>
          <w:lang w:val="en-IE" w:eastAsia="en-IE"/>
        </w:rPr>
        <w:t xml:space="preserve"> and </w:t>
      </w:r>
      <w:proofErr w:type="spellStart"/>
      <w:r w:rsidRPr="005315E0">
        <w:rPr>
          <w:rFonts w:ascii="Roboto" w:eastAsia="Times New Roman" w:hAnsi="Roboto" w:cs="Times New Roman"/>
          <w:color w:val="3E3F40"/>
          <w:sz w:val="24"/>
          <w:szCs w:val="24"/>
          <w:lang w:val="en-IE" w:eastAsia="en-IE"/>
        </w:rPr>
        <w:t>lisín</w:t>
      </w:r>
      <w:proofErr w:type="spellEnd"/>
      <w:r w:rsidRPr="005315E0">
        <w:rPr>
          <w:rFonts w:ascii="Roboto" w:eastAsia="Times New Roman" w:hAnsi="Roboto" w:cs="Times New Roman"/>
          <w:color w:val="3E3F40"/>
          <w:sz w:val="24"/>
          <w:szCs w:val="24"/>
          <w:lang w:val="en-IE" w:eastAsia="en-IE"/>
        </w:rPr>
        <w:t xml:space="preserve">, and they reflect a sadder part of our more recent past. They were the designated resting place for still-born and unbaptised children as well as other members of society who were deemed unsuitable for burial within consecrated ground. The latter grouping included, amongst others, suicides, </w:t>
      </w:r>
      <w:r w:rsidRPr="005315E0">
        <w:rPr>
          <w:rFonts w:ascii="Roboto" w:eastAsia="Times New Roman" w:hAnsi="Roboto" w:cs="Times New Roman"/>
          <w:color w:val="3E3F40"/>
          <w:sz w:val="24"/>
          <w:szCs w:val="24"/>
          <w:lang w:val="en-IE" w:eastAsia="en-IE"/>
        </w:rPr>
        <w:lastRenderedPageBreak/>
        <w:t xml:space="preserve">unrepentant murderers, the mentally disabled and those of different religious beliefs. The mound at </w:t>
      </w:r>
      <w:proofErr w:type="spellStart"/>
      <w:r w:rsidRPr="005315E0">
        <w:rPr>
          <w:rFonts w:ascii="Roboto" w:eastAsia="Times New Roman" w:hAnsi="Roboto" w:cs="Times New Roman"/>
          <w:color w:val="3E3F40"/>
          <w:sz w:val="24"/>
          <w:szCs w:val="24"/>
          <w:lang w:val="en-IE" w:eastAsia="en-IE"/>
        </w:rPr>
        <w:t>Ballymorris</w:t>
      </w:r>
      <w:proofErr w:type="spellEnd"/>
      <w:r w:rsidRPr="005315E0">
        <w:rPr>
          <w:rFonts w:ascii="Roboto" w:eastAsia="Times New Roman" w:hAnsi="Roboto" w:cs="Times New Roman"/>
          <w:color w:val="3E3F40"/>
          <w:sz w:val="24"/>
          <w:szCs w:val="24"/>
          <w:lang w:val="en-IE" w:eastAsia="en-IE"/>
        </w:rPr>
        <w:t xml:space="preserve"> is known locally as ‘</w:t>
      </w:r>
      <w:proofErr w:type="spellStart"/>
      <w:r w:rsidRPr="005315E0">
        <w:rPr>
          <w:rFonts w:ascii="Roboto" w:eastAsia="Times New Roman" w:hAnsi="Roboto" w:cs="Times New Roman"/>
          <w:color w:val="3E3F40"/>
          <w:sz w:val="24"/>
          <w:szCs w:val="24"/>
          <w:lang w:val="en-IE" w:eastAsia="en-IE"/>
        </w:rPr>
        <w:t>Crishavale</w:t>
      </w:r>
      <w:proofErr w:type="spellEnd"/>
      <w:r w:rsidRPr="005315E0">
        <w:rPr>
          <w:rFonts w:ascii="Roboto" w:eastAsia="Times New Roman" w:hAnsi="Roboto" w:cs="Times New Roman"/>
          <w:color w:val="3E3F40"/>
          <w:sz w:val="24"/>
          <w:szCs w:val="24"/>
          <w:lang w:val="en-IE" w:eastAsia="en-IE"/>
        </w:rPr>
        <w:t xml:space="preserve">’ (pers. comm Nick Dempsey junior, told to him by his father Nick senior). The first part of this name, </w:t>
      </w:r>
      <w:proofErr w:type="spellStart"/>
      <w:r w:rsidRPr="005315E0">
        <w:rPr>
          <w:rFonts w:ascii="Roboto" w:eastAsia="Times New Roman" w:hAnsi="Roboto" w:cs="Times New Roman"/>
          <w:color w:val="3E3F40"/>
          <w:sz w:val="24"/>
          <w:szCs w:val="24"/>
          <w:lang w:val="en-IE" w:eastAsia="en-IE"/>
        </w:rPr>
        <w:t>Crisha</w:t>
      </w:r>
      <w:proofErr w:type="spellEnd"/>
      <w:r w:rsidRPr="005315E0">
        <w:rPr>
          <w:rFonts w:ascii="Roboto" w:eastAsia="Times New Roman" w:hAnsi="Roboto" w:cs="Times New Roman"/>
          <w:color w:val="3E3F40"/>
          <w:sz w:val="24"/>
          <w:szCs w:val="24"/>
          <w:lang w:val="en-IE" w:eastAsia="en-IE"/>
        </w:rPr>
        <w:t xml:space="preserve"> is probably a corruption of the Irish for cross, while the meaning of the second part, vale, is uncertain (see Note 1 at the bottom). The local landowner (Paddy Breen) also referred to the site as a ‘fairy’s graveyard’.</w:t>
      </w:r>
    </w:p>
    <w:p w14:paraId="10C98477" w14:textId="77777777" w:rsidR="005315E0" w:rsidRPr="005315E0" w:rsidRDefault="005315E0" w:rsidP="005315E0">
      <w:pPr>
        <w:shd w:val="clear" w:color="auto" w:fill="FFFFFF"/>
        <w:spacing w:after="0" w:line="240" w:lineRule="auto"/>
        <w:rPr>
          <w:rFonts w:ascii="Roboto" w:eastAsia="Times New Roman" w:hAnsi="Roboto" w:cs="Times New Roman"/>
          <w:color w:val="3E3F40"/>
          <w:sz w:val="24"/>
          <w:szCs w:val="24"/>
          <w:lang w:val="en-IE" w:eastAsia="en-IE"/>
        </w:rPr>
      </w:pPr>
      <w:r w:rsidRPr="005315E0">
        <w:rPr>
          <w:rFonts w:ascii="Roboto" w:eastAsia="Times New Roman" w:hAnsi="Roboto" w:cs="Times New Roman"/>
          <w:noProof/>
          <w:color w:val="0000FF"/>
          <w:sz w:val="24"/>
          <w:szCs w:val="24"/>
          <w:lang w:val="en-IE" w:eastAsia="en-IE"/>
        </w:rPr>
        <w:drawing>
          <wp:inline distT="0" distB="0" distL="0" distR="0" wp14:anchorId="7FCBACFA" wp14:editId="43B7E922">
            <wp:extent cx="2495550" cy="2809875"/>
            <wp:effectExtent l="0" t="0" r="0" b="9525"/>
            <wp:docPr id="14" name="Picture 14" descr="Ballymorris-2">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Ballymorris-2">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95550" cy="2809875"/>
                    </a:xfrm>
                    <a:prstGeom prst="rect">
                      <a:avLst/>
                    </a:prstGeom>
                    <a:noFill/>
                    <a:ln>
                      <a:noFill/>
                    </a:ln>
                  </pic:spPr>
                </pic:pic>
              </a:graphicData>
            </a:graphic>
          </wp:inline>
        </w:drawing>
      </w:r>
      <w:proofErr w:type="spellStart"/>
      <w:r w:rsidRPr="005315E0">
        <w:rPr>
          <w:rFonts w:ascii="Roboto" w:eastAsia="Times New Roman" w:hAnsi="Roboto" w:cs="Times New Roman"/>
          <w:color w:val="3E3F40"/>
          <w:sz w:val="24"/>
          <w:szCs w:val="24"/>
          <w:lang w:val="en-IE" w:eastAsia="en-IE"/>
        </w:rPr>
        <w:t>Ballymorris</w:t>
      </w:r>
      <w:proofErr w:type="spellEnd"/>
      <w:r w:rsidRPr="005315E0">
        <w:rPr>
          <w:rFonts w:ascii="Roboto" w:eastAsia="Times New Roman" w:hAnsi="Roboto" w:cs="Times New Roman"/>
          <w:color w:val="3E3F40"/>
          <w:sz w:val="24"/>
          <w:szCs w:val="24"/>
          <w:lang w:val="en-IE" w:eastAsia="en-IE"/>
        </w:rPr>
        <w:t xml:space="preserve"> </w:t>
      </w:r>
      <w:proofErr w:type="spellStart"/>
      <w:r w:rsidRPr="005315E0">
        <w:rPr>
          <w:rFonts w:ascii="Roboto" w:eastAsia="Times New Roman" w:hAnsi="Roboto" w:cs="Times New Roman"/>
          <w:color w:val="3E3F40"/>
          <w:sz w:val="24"/>
          <w:szCs w:val="24"/>
          <w:lang w:val="en-IE" w:eastAsia="en-IE"/>
        </w:rPr>
        <w:t>cillín</w:t>
      </w:r>
      <w:proofErr w:type="spellEnd"/>
      <w:r w:rsidRPr="005315E0">
        <w:rPr>
          <w:rFonts w:ascii="Roboto" w:eastAsia="Times New Roman" w:hAnsi="Roboto" w:cs="Times New Roman"/>
          <w:color w:val="3E3F40"/>
          <w:sz w:val="24"/>
          <w:szCs w:val="24"/>
          <w:lang w:val="en-IE" w:eastAsia="en-IE"/>
        </w:rPr>
        <w:t xml:space="preserve"> location (© National Monuments Viewer)</w:t>
      </w:r>
    </w:p>
    <w:p w14:paraId="1DEB81BB" w14:textId="77777777" w:rsidR="005315E0" w:rsidRPr="005315E0" w:rsidRDefault="005315E0" w:rsidP="005315E0">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5315E0">
        <w:rPr>
          <w:rFonts w:ascii="Roboto" w:eastAsia="Times New Roman" w:hAnsi="Roboto" w:cs="Times New Roman"/>
          <w:color w:val="3E3F40"/>
          <w:sz w:val="24"/>
          <w:szCs w:val="24"/>
          <w:lang w:val="en-IE" w:eastAsia="en-IE"/>
        </w:rPr>
        <w:t>The dating of children’s burial grounds/</w:t>
      </w:r>
      <w:proofErr w:type="spellStart"/>
      <w:r w:rsidRPr="005315E0">
        <w:rPr>
          <w:rFonts w:ascii="Roboto" w:eastAsia="Times New Roman" w:hAnsi="Roboto" w:cs="Times New Roman"/>
          <w:color w:val="3E3F40"/>
          <w:sz w:val="24"/>
          <w:szCs w:val="24"/>
          <w:lang w:val="en-IE" w:eastAsia="en-IE"/>
        </w:rPr>
        <w:t>cilliní</w:t>
      </w:r>
      <w:proofErr w:type="spellEnd"/>
      <w:r w:rsidRPr="005315E0">
        <w:rPr>
          <w:rFonts w:ascii="Roboto" w:eastAsia="Times New Roman" w:hAnsi="Roboto" w:cs="Times New Roman"/>
          <w:color w:val="3E3F40"/>
          <w:sz w:val="24"/>
          <w:szCs w:val="24"/>
          <w:lang w:val="en-IE" w:eastAsia="en-IE"/>
        </w:rPr>
        <w:t xml:space="preserve"> has been problematic with some earlier commentators, such as </w:t>
      </w:r>
      <w:proofErr w:type="spellStart"/>
      <w:r w:rsidRPr="005315E0">
        <w:rPr>
          <w:rFonts w:ascii="Roboto" w:eastAsia="Times New Roman" w:hAnsi="Roboto" w:cs="Times New Roman"/>
          <w:color w:val="3E3F40"/>
          <w:sz w:val="24"/>
          <w:szCs w:val="24"/>
          <w:lang w:val="en-IE" w:eastAsia="en-IE"/>
        </w:rPr>
        <w:t>O’Suilleabheán</w:t>
      </w:r>
      <w:proofErr w:type="spellEnd"/>
      <w:r w:rsidRPr="005315E0">
        <w:rPr>
          <w:rFonts w:ascii="Roboto" w:eastAsia="Times New Roman" w:hAnsi="Roboto" w:cs="Times New Roman"/>
          <w:color w:val="3E3F40"/>
          <w:sz w:val="24"/>
          <w:szCs w:val="24"/>
          <w:lang w:val="en-IE" w:eastAsia="en-IE"/>
        </w:rPr>
        <w:t>, suggesting that they may have had their origins in pre-Christian pagan practices (</w:t>
      </w:r>
      <w:proofErr w:type="spellStart"/>
      <w:r w:rsidRPr="005315E0">
        <w:rPr>
          <w:rFonts w:ascii="Roboto" w:eastAsia="Times New Roman" w:hAnsi="Roboto" w:cs="Times New Roman"/>
          <w:color w:val="3E3F40"/>
          <w:sz w:val="24"/>
          <w:szCs w:val="24"/>
          <w:lang w:val="en-IE" w:eastAsia="en-IE"/>
        </w:rPr>
        <w:t>O’Suilleabheán</w:t>
      </w:r>
      <w:proofErr w:type="spellEnd"/>
      <w:r w:rsidRPr="005315E0">
        <w:rPr>
          <w:rFonts w:ascii="Roboto" w:eastAsia="Times New Roman" w:hAnsi="Roboto" w:cs="Times New Roman"/>
          <w:color w:val="3E3F40"/>
          <w:sz w:val="24"/>
          <w:szCs w:val="24"/>
          <w:lang w:val="en-IE" w:eastAsia="en-IE"/>
        </w:rPr>
        <w:t xml:space="preserve"> 1939, cited in Finlay 2000). However, recent research and the results of a number of archaeological excavations indicate that the majority date from the 16th century AD onwards (see Donnelly &amp; Murphy 2008). This may have been the result of the Counter Reformation, which was initiated by the</w:t>
      </w:r>
      <w:hyperlink r:id="rId7" w:tgtFrame="_blank" w:history="1">
        <w:r w:rsidRPr="005315E0">
          <w:rPr>
            <w:rFonts w:ascii="Roboto" w:eastAsia="Times New Roman" w:hAnsi="Roboto" w:cs="Times New Roman"/>
            <w:color w:val="000000"/>
            <w:sz w:val="24"/>
            <w:szCs w:val="24"/>
            <w:u w:val="single"/>
            <w:shd w:val="clear" w:color="auto" w:fill="FFDE00"/>
            <w:lang w:val="en-IE" w:eastAsia="en-IE"/>
          </w:rPr>
          <w:t> Council of Trent </w:t>
        </w:r>
      </w:hyperlink>
      <w:r w:rsidRPr="005315E0">
        <w:rPr>
          <w:rFonts w:ascii="Roboto" w:eastAsia="Times New Roman" w:hAnsi="Roboto" w:cs="Times New Roman"/>
          <w:color w:val="3E3F40"/>
          <w:sz w:val="24"/>
          <w:szCs w:val="24"/>
          <w:lang w:val="en-IE" w:eastAsia="en-IE"/>
        </w:rPr>
        <w:t>(1545-1563). This movement sought to re-establish the primacy of the Catholic Church in the face of an expanding Protestant faith. Among its many proclamations the Council of Trent issued edicts on the importance of baptism and the concept of </w:t>
      </w:r>
      <w:hyperlink r:id="rId8" w:tgtFrame="_blank" w:history="1">
        <w:r w:rsidRPr="005315E0">
          <w:rPr>
            <w:rFonts w:ascii="Roboto" w:eastAsia="Times New Roman" w:hAnsi="Roboto" w:cs="Times New Roman"/>
            <w:color w:val="000000"/>
            <w:sz w:val="24"/>
            <w:szCs w:val="24"/>
            <w:u w:val="single"/>
            <w:shd w:val="clear" w:color="auto" w:fill="FFDE00"/>
            <w:lang w:val="en-IE" w:eastAsia="en-IE"/>
          </w:rPr>
          <w:t>Limbo</w:t>
        </w:r>
      </w:hyperlink>
      <w:r w:rsidRPr="005315E0">
        <w:rPr>
          <w:rFonts w:ascii="Roboto" w:eastAsia="Times New Roman" w:hAnsi="Roboto" w:cs="Times New Roman"/>
          <w:color w:val="3E3F40"/>
          <w:sz w:val="24"/>
          <w:szCs w:val="24"/>
          <w:lang w:val="en-IE" w:eastAsia="en-IE"/>
        </w:rPr>
        <w:t xml:space="preserve"> as well as reaffirming canon law, with its measures on who could and could not be buried in consecrated ground. In Ireland it appears that these measures led to a significant growth in the use of </w:t>
      </w:r>
      <w:proofErr w:type="spellStart"/>
      <w:r w:rsidRPr="005315E0">
        <w:rPr>
          <w:rFonts w:ascii="Roboto" w:eastAsia="Times New Roman" w:hAnsi="Roboto" w:cs="Times New Roman"/>
          <w:color w:val="3E3F40"/>
          <w:sz w:val="24"/>
          <w:szCs w:val="24"/>
          <w:lang w:val="en-IE" w:eastAsia="en-IE"/>
        </w:rPr>
        <w:t>cilliní</w:t>
      </w:r>
      <w:proofErr w:type="spellEnd"/>
      <w:r w:rsidRPr="005315E0">
        <w:rPr>
          <w:rFonts w:ascii="Roboto" w:eastAsia="Times New Roman" w:hAnsi="Roboto" w:cs="Times New Roman"/>
          <w:color w:val="3E3F40"/>
          <w:sz w:val="24"/>
          <w:szCs w:val="24"/>
          <w:lang w:val="en-IE" w:eastAsia="en-IE"/>
        </w:rPr>
        <w:t xml:space="preserve"> sites, such as </w:t>
      </w:r>
      <w:proofErr w:type="spellStart"/>
      <w:r w:rsidRPr="005315E0">
        <w:rPr>
          <w:rFonts w:ascii="Roboto" w:eastAsia="Times New Roman" w:hAnsi="Roboto" w:cs="Times New Roman"/>
          <w:color w:val="3E3F40"/>
          <w:sz w:val="24"/>
          <w:szCs w:val="24"/>
          <w:lang w:val="en-IE" w:eastAsia="en-IE"/>
        </w:rPr>
        <w:t>Ballymorris</w:t>
      </w:r>
      <w:proofErr w:type="spellEnd"/>
      <w:r w:rsidRPr="005315E0">
        <w:rPr>
          <w:rFonts w:ascii="Roboto" w:eastAsia="Times New Roman" w:hAnsi="Roboto" w:cs="Times New Roman"/>
          <w:color w:val="3E3F40"/>
          <w:sz w:val="24"/>
          <w:szCs w:val="24"/>
          <w:lang w:val="en-IE" w:eastAsia="en-IE"/>
        </w:rPr>
        <w:t>.</w:t>
      </w:r>
    </w:p>
    <w:p w14:paraId="6EDC94C2" w14:textId="77777777" w:rsidR="005315E0" w:rsidRPr="005315E0" w:rsidRDefault="005315E0" w:rsidP="005315E0">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5315E0">
        <w:rPr>
          <w:rFonts w:ascii="Roboto" w:eastAsia="Times New Roman" w:hAnsi="Roboto" w:cs="Times New Roman"/>
          <w:color w:val="3E3F40"/>
          <w:sz w:val="24"/>
          <w:szCs w:val="24"/>
          <w:lang w:val="en-IE" w:eastAsia="en-IE"/>
        </w:rPr>
        <w:t>Quite simply, if an infant remained unbaptised at the time of its death, its soul was bound for </w:t>
      </w:r>
      <w:hyperlink r:id="rId9" w:tgtFrame="_blank" w:history="1">
        <w:r w:rsidRPr="005315E0">
          <w:rPr>
            <w:rFonts w:ascii="Roboto" w:eastAsia="Times New Roman" w:hAnsi="Roboto" w:cs="Times New Roman"/>
            <w:color w:val="000000"/>
            <w:sz w:val="24"/>
            <w:szCs w:val="24"/>
            <w:u w:val="single"/>
            <w:shd w:val="clear" w:color="auto" w:fill="FFDE00"/>
            <w:lang w:val="en-IE" w:eastAsia="en-IE"/>
          </w:rPr>
          <w:t>Limbo</w:t>
        </w:r>
      </w:hyperlink>
      <w:r w:rsidRPr="005315E0">
        <w:rPr>
          <w:rFonts w:ascii="Roboto" w:eastAsia="Times New Roman" w:hAnsi="Roboto" w:cs="Times New Roman"/>
          <w:color w:val="3E3F40"/>
          <w:sz w:val="24"/>
          <w:szCs w:val="24"/>
          <w:lang w:val="en-IE" w:eastAsia="en-IE"/>
        </w:rPr>
        <w:t xml:space="preserve">; its body, for the </w:t>
      </w:r>
      <w:proofErr w:type="spellStart"/>
      <w:r w:rsidRPr="005315E0">
        <w:rPr>
          <w:rFonts w:ascii="Roboto" w:eastAsia="Times New Roman" w:hAnsi="Roboto" w:cs="Times New Roman"/>
          <w:color w:val="3E3F40"/>
          <w:sz w:val="24"/>
          <w:szCs w:val="24"/>
          <w:lang w:val="en-IE" w:eastAsia="en-IE"/>
        </w:rPr>
        <w:t>cillín</w:t>
      </w:r>
      <w:proofErr w:type="spellEnd"/>
      <w:r w:rsidRPr="005315E0">
        <w:rPr>
          <w:rFonts w:ascii="Roboto" w:eastAsia="Times New Roman" w:hAnsi="Roboto" w:cs="Times New Roman"/>
          <w:color w:val="3E3F40"/>
          <w:sz w:val="24"/>
          <w:szCs w:val="24"/>
          <w:lang w:val="en-IE" w:eastAsia="en-IE"/>
        </w:rPr>
        <w:t xml:space="preserve"> (after Donnelly &amp; Murphy 2008</w:t>
      </w:r>
      <w:proofErr w:type="gramStart"/>
      <w:r w:rsidRPr="005315E0">
        <w:rPr>
          <w:rFonts w:ascii="Roboto" w:eastAsia="Times New Roman" w:hAnsi="Roboto" w:cs="Times New Roman"/>
          <w:color w:val="3E3F40"/>
          <w:sz w:val="24"/>
          <w:szCs w:val="24"/>
          <w:lang w:val="en-IE" w:eastAsia="en-IE"/>
        </w:rPr>
        <w:t>) .</w:t>
      </w:r>
      <w:proofErr w:type="gramEnd"/>
      <w:r w:rsidRPr="005315E0">
        <w:rPr>
          <w:rFonts w:ascii="Roboto" w:eastAsia="Times New Roman" w:hAnsi="Roboto" w:cs="Times New Roman"/>
          <w:color w:val="3E3F40"/>
          <w:sz w:val="24"/>
          <w:szCs w:val="24"/>
          <w:lang w:val="en-IE" w:eastAsia="en-IE"/>
        </w:rPr>
        <w:t xml:space="preserve"> It is hard not to feel deep sympathy for the parents of such children. The grief they undoubtedly felt at the death of their child was now compounded by a church doctrine which deemed their offspring unworthy of burial in consecrated ground and access to heaven. Folklore evidence suggests that even the act of burial was now something to be ashamed of. It was typically carried by male members of the family, usually the father, at night with little or no ceremony (Sugrue 1993, cited in Finlay 2000).</w:t>
      </w:r>
    </w:p>
    <w:p w14:paraId="1F43CEAA" w14:textId="77777777" w:rsidR="005315E0" w:rsidRPr="005315E0" w:rsidRDefault="005315E0" w:rsidP="005315E0">
      <w:pPr>
        <w:shd w:val="clear" w:color="auto" w:fill="FFFFFF"/>
        <w:spacing w:after="0" w:line="240" w:lineRule="auto"/>
        <w:rPr>
          <w:rFonts w:ascii="Roboto" w:eastAsia="Times New Roman" w:hAnsi="Roboto" w:cs="Times New Roman"/>
          <w:color w:val="3E3F40"/>
          <w:sz w:val="24"/>
          <w:szCs w:val="24"/>
          <w:lang w:val="en-IE" w:eastAsia="en-IE"/>
        </w:rPr>
      </w:pPr>
      <w:r w:rsidRPr="005315E0">
        <w:rPr>
          <w:rFonts w:ascii="Roboto" w:eastAsia="Times New Roman" w:hAnsi="Roboto" w:cs="Times New Roman"/>
          <w:noProof/>
          <w:color w:val="0000FF"/>
          <w:sz w:val="24"/>
          <w:szCs w:val="24"/>
          <w:lang w:val="en-IE" w:eastAsia="en-IE"/>
        </w:rPr>
        <w:lastRenderedPageBreak/>
        <w:drawing>
          <wp:inline distT="0" distB="0" distL="0" distR="0" wp14:anchorId="01779000" wp14:editId="62DC10E3">
            <wp:extent cx="2771775" cy="3009900"/>
            <wp:effectExtent l="0" t="0" r="9525" b="0"/>
            <wp:docPr id="15" name="Picture 15" descr="Ballymorris-3">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Ballymorris-3">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71775" cy="3009900"/>
                    </a:xfrm>
                    <a:prstGeom prst="rect">
                      <a:avLst/>
                    </a:prstGeom>
                    <a:noFill/>
                    <a:ln>
                      <a:noFill/>
                    </a:ln>
                  </pic:spPr>
                </pic:pic>
              </a:graphicData>
            </a:graphic>
          </wp:inline>
        </w:drawing>
      </w:r>
      <w:proofErr w:type="spellStart"/>
      <w:r w:rsidRPr="005315E0">
        <w:rPr>
          <w:rFonts w:ascii="Roboto" w:eastAsia="Times New Roman" w:hAnsi="Roboto" w:cs="Times New Roman"/>
          <w:color w:val="3E3F40"/>
          <w:sz w:val="24"/>
          <w:szCs w:val="24"/>
          <w:lang w:val="en-IE" w:eastAsia="en-IE"/>
        </w:rPr>
        <w:t>Cillín</w:t>
      </w:r>
      <w:proofErr w:type="spellEnd"/>
      <w:r w:rsidRPr="005315E0">
        <w:rPr>
          <w:rFonts w:ascii="Roboto" w:eastAsia="Times New Roman" w:hAnsi="Roboto" w:cs="Times New Roman"/>
          <w:color w:val="3E3F40"/>
          <w:sz w:val="24"/>
          <w:szCs w:val="24"/>
          <w:lang w:val="en-IE" w:eastAsia="en-IE"/>
        </w:rPr>
        <w:t xml:space="preserve"> location in relation to possible barrow</w:t>
      </w:r>
    </w:p>
    <w:p w14:paraId="075C10B9" w14:textId="77777777" w:rsidR="005315E0" w:rsidRPr="005315E0" w:rsidRDefault="005315E0" w:rsidP="005315E0">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5315E0">
        <w:rPr>
          <w:rFonts w:ascii="Roboto" w:eastAsia="Times New Roman" w:hAnsi="Roboto" w:cs="Times New Roman"/>
          <w:color w:val="3E3F40"/>
          <w:sz w:val="24"/>
          <w:szCs w:val="24"/>
          <w:lang w:val="en-IE" w:eastAsia="en-IE"/>
        </w:rPr>
        <w:t xml:space="preserve">At </w:t>
      </w:r>
      <w:proofErr w:type="spellStart"/>
      <w:r w:rsidRPr="005315E0">
        <w:rPr>
          <w:rFonts w:ascii="Roboto" w:eastAsia="Times New Roman" w:hAnsi="Roboto" w:cs="Times New Roman"/>
          <w:color w:val="3E3F40"/>
          <w:sz w:val="24"/>
          <w:szCs w:val="24"/>
          <w:lang w:val="en-IE" w:eastAsia="en-IE"/>
        </w:rPr>
        <w:t>Ballymorrris</w:t>
      </w:r>
      <w:proofErr w:type="spellEnd"/>
      <w:r w:rsidRPr="005315E0">
        <w:rPr>
          <w:rFonts w:ascii="Roboto" w:eastAsia="Times New Roman" w:hAnsi="Roboto" w:cs="Times New Roman"/>
          <w:color w:val="3E3F40"/>
          <w:sz w:val="24"/>
          <w:szCs w:val="24"/>
          <w:lang w:val="en-IE" w:eastAsia="en-IE"/>
        </w:rPr>
        <w:t xml:space="preserve"> it is possible that the mound of stone and earth which marks the </w:t>
      </w:r>
      <w:proofErr w:type="spellStart"/>
      <w:r w:rsidRPr="005315E0">
        <w:rPr>
          <w:rFonts w:ascii="Roboto" w:eastAsia="Times New Roman" w:hAnsi="Roboto" w:cs="Times New Roman"/>
          <w:color w:val="3E3F40"/>
          <w:sz w:val="24"/>
          <w:szCs w:val="24"/>
          <w:lang w:val="en-IE" w:eastAsia="en-IE"/>
        </w:rPr>
        <w:t>cillín</w:t>
      </w:r>
      <w:proofErr w:type="spellEnd"/>
      <w:r w:rsidRPr="005315E0">
        <w:rPr>
          <w:rFonts w:ascii="Roboto" w:eastAsia="Times New Roman" w:hAnsi="Roboto" w:cs="Times New Roman"/>
          <w:color w:val="3E3F40"/>
          <w:sz w:val="24"/>
          <w:szCs w:val="24"/>
          <w:lang w:val="en-IE" w:eastAsia="en-IE"/>
        </w:rPr>
        <w:t xml:space="preserve"> may also represent a much earlier phase of burial activity, possibly a barrow. This reuse of earlier monuments is often seen as </w:t>
      </w:r>
      <w:proofErr w:type="spellStart"/>
      <w:r w:rsidRPr="005315E0">
        <w:rPr>
          <w:rFonts w:ascii="Roboto" w:eastAsia="Times New Roman" w:hAnsi="Roboto" w:cs="Times New Roman"/>
          <w:color w:val="3E3F40"/>
          <w:sz w:val="24"/>
          <w:szCs w:val="24"/>
          <w:lang w:val="en-IE" w:eastAsia="en-IE"/>
        </w:rPr>
        <w:t>cilliní</w:t>
      </w:r>
      <w:proofErr w:type="spellEnd"/>
      <w:r w:rsidRPr="005315E0">
        <w:rPr>
          <w:rFonts w:ascii="Roboto" w:eastAsia="Times New Roman" w:hAnsi="Roboto" w:cs="Times New Roman"/>
          <w:color w:val="3E3F40"/>
          <w:sz w:val="24"/>
          <w:szCs w:val="24"/>
          <w:lang w:val="en-IE" w:eastAsia="en-IE"/>
        </w:rPr>
        <w:t xml:space="preserve"> sites, with locations such as deserted churches and graveyards, ancient megalithic tombs/mounds, and secular earthworks such as ringforts </w:t>
      </w:r>
      <w:proofErr w:type="gramStart"/>
      <w:r w:rsidRPr="005315E0">
        <w:rPr>
          <w:rFonts w:ascii="Roboto" w:eastAsia="Times New Roman" w:hAnsi="Roboto" w:cs="Times New Roman"/>
          <w:color w:val="3E3F40"/>
          <w:sz w:val="24"/>
          <w:szCs w:val="24"/>
          <w:lang w:val="en-IE" w:eastAsia="en-IE"/>
        </w:rPr>
        <w:t>often  chosen</w:t>
      </w:r>
      <w:proofErr w:type="gramEnd"/>
      <w:r w:rsidRPr="005315E0">
        <w:rPr>
          <w:rFonts w:ascii="Roboto" w:eastAsia="Times New Roman" w:hAnsi="Roboto" w:cs="Times New Roman"/>
          <w:color w:val="3E3F40"/>
          <w:sz w:val="24"/>
          <w:szCs w:val="24"/>
          <w:lang w:val="en-IE" w:eastAsia="en-IE"/>
        </w:rPr>
        <w:t xml:space="preserve">. Barrows are small burial mounds that typically date to the Bronze (2,500-700 BC) or Iron Age (700BC-400AD) and which present as small mounds of earth and stone surrounded by a circular ditch (although the mound rarely survives and ditch is often filled in with silt and soil). They often occur in clusters and at </w:t>
      </w:r>
      <w:proofErr w:type="spellStart"/>
      <w:r w:rsidRPr="005315E0">
        <w:rPr>
          <w:rFonts w:ascii="Roboto" w:eastAsia="Times New Roman" w:hAnsi="Roboto" w:cs="Times New Roman"/>
          <w:color w:val="3E3F40"/>
          <w:sz w:val="24"/>
          <w:szCs w:val="24"/>
          <w:lang w:val="en-IE" w:eastAsia="en-IE"/>
        </w:rPr>
        <w:t>Ballymorris</w:t>
      </w:r>
      <w:proofErr w:type="spellEnd"/>
      <w:r w:rsidRPr="005315E0">
        <w:rPr>
          <w:rFonts w:ascii="Roboto" w:eastAsia="Times New Roman" w:hAnsi="Roboto" w:cs="Times New Roman"/>
          <w:color w:val="3E3F40"/>
          <w:sz w:val="24"/>
          <w:szCs w:val="24"/>
          <w:lang w:val="en-IE" w:eastAsia="en-IE"/>
        </w:rPr>
        <w:t xml:space="preserve"> a second possible barrow is located roughly 100m to the northeast of the </w:t>
      </w:r>
      <w:proofErr w:type="spellStart"/>
      <w:r w:rsidRPr="005315E0">
        <w:rPr>
          <w:rFonts w:ascii="Roboto" w:eastAsia="Times New Roman" w:hAnsi="Roboto" w:cs="Times New Roman"/>
          <w:color w:val="3E3F40"/>
          <w:sz w:val="24"/>
          <w:szCs w:val="24"/>
          <w:lang w:val="en-IE" w:eastAsia="en-IE"/>
        </w:rPr>
        <w:t>cillín</w:t>
      </w:r>
      <w:proofErr w:type="spellEnd"/>
      <w:r w:rsidRPr="005315E0">
        <w:rPr>
          <w:rFonts w:ascii="Roboto" w:eastAsia="Times New Roman" w:hAnsi="Roboto" w:cs="Times New Roman"/>
          <w:color w:val="3E3F40"/>
          <w:sz w:val="24"/>
          <w:szCs w:val="24"/>
          <w:lang w:val="en-IE" w:eastAsia="en-IE"/>
        </w:rPr>
        <w:t xml:space="preserve"> (see image above). No mound survives at this previously unrecorded site, but the presence of an enclosing ditch c. 15m in diameter is suggested on aerial photos (Google Maps satellite image, accessed 14th of Jan 2012). In the image below the barrow ditch is represented by a dark circular </w:t>
      </w:r>
      <w:hyperlink r:id="rId12" w:tgtFrame="_blank" w:history="1">
        <w:r w:rsidRPr="005315E0">
          <w:rPr>
            <w:rFonts w:ascii="Roboto" w:eastAsia="Times New Roman" w:hAnsi="Roboto" w:cs="Times New Roman"/>
            <w:color w:val="000000"/>
            <w:sz w:val="24"/>
            <w:szCs w:val="24"/>
            <w:u w:val="single"/>
            <w:shd w:val="clear" w:color="auto" w:fill="FFDE00"/>
            <w:lang w:val="en-IE" w:eastAsia="en-IE"/>
          </w:rPr>
          <w:t>cropmark</w:t>
        </w:r>
      </w:hyperlink>
      <w:r w:rsidRPr="005315E0">
        <w:rPr>
          <w:rFonts w:ascii="Roboto" w:eastAsia="Times New Roman" w:hAnsi="Roboto" w:cs="Times New Roman"/>
          <w:color w:val="3E3F40"/>
          <w:sz w:val="24"/>
          <w:szCs w:val="24"/>
          <w:lang w:val="en-IE" w:eastAsia="en-IE"/>
        </w:rPr>
        <w:t>.</w:t>
      </w:r>
    </w:p>
    <w:p w14:paraId="71FA4F30" w14:textId="77777777" w:rsidR="005315E0" w:rsidRPr="005315E0" w:rsidRDefault="005315E0" w:rsidP="005315E0">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5315E0">
        <w:rPr>
          <w:rFonts w:ascii="Roboto" w:eastAsia="Times New Roman" w:hAnsi="Roboto" w:cs="Times New Roman"/>
          <w:color w:val="3E3F40"/>
          <w:sz w:val="24"/>
          <w:szCs w:val="24"/>
          <w:lang w:val="en-IE" w:eastAsia="en-IE"/>
        </w:rPr>
        <w:t xml:space="preserve">Whatever the antiquity of the children’s burial ground at </w:t>
      </w:r>
      <w:proofErr w:type="spellStart"/>
      <w:r w:rsidRPr="005315E0">
        <w:rPr>
          <w:rFonts w:ascii="Roboto" w:eastAsia="Times New Roman" w:hAnsi="Roboto" w:cs="Times New Roman"/>
          <w:color w:val="3E3F40"/>
          <w:sz w:val="24"/>
          <w:szCs w:val="24"/>
          <w:lang w:val="en-IE" w:eastAsia="en-IE"/>
        </w:rPr>
        <w:t>Ballymorris</w:t>
      </w:r>
      <w:proofErr w:type="spellEnd"/>
      <w:r w:rsidRPr="005315E0">
        <w:rPr>
          <w:rFonts w:ascii="Roboto" w:eastAsia="Times New Roman" w:hAnsi="Roboto" w:cs="Times New Roman"/>
          <w:color w:val="3E3F40"/>
          <w:sz w:val="24"/>
          <w:szCs w:val="24"/>
          <w:lang w:val="en-IE" w:eastAsia="en-IE"/>
        </w:rPr>
        <w:t>, there is no denying that it represents one of the sadder parts of our parish’s heritage.</w:t>
      </w:r>
    </w:p>
    <w:p w14:paraId="2ABCD74E" w14:textId="77777777" w:rsidR="005315E0" w:rsidRPr="005315E0" w:rsidRDefault="005315E0" w:rsidP="005315E0">
      <w:pPr>
        <w:shd w:val="clear" w:color="auto" w:fill="FFFFFF"/>
        <w:spacing w:after="0" w:line="240" w:lineRule="auto"/>
        <w:rPr>
          <w:rFonts w:ascii="Roboto" w:eastAsia="Times New Roman" w:hAnsi="Roboto" w:cs="Times New Roman"/>
          <w:color w:val="3E3F40"/>
          <w:sz w:val="24"/>
          <w:szCs w:val="24"/>
          <w:lang w:val="en-IE" w:eastAsia="en-IE"/>
        </w:rPr>
      </w:pPr>
      <w:r w:rsidRPr="005315E0">
        <w:rPr>
          <w:rFonts w:ascii="Roboto" w:eastAsia="Times New Roman" w:hAnsi="Roboto" w:cs="Times New Roman"/>
          <w:noProof/>
          <w:color w:val="0000FF"/>
          <w:sz w:val="24"/>
          <w:szCs w:val="24"/>
          <w:lang w:val="en-IE" w:eastAsia="en-IE"/>
        </w:rPr>
        <w:lastRenderedPageBreak/>
        <w:drawing>
          <wp:inline distT="0" distB="0" distL="0" distR="0" wp14:anchorId="2F80B9D8" wp14:editId="78666F8D">
            <wp:extent cx="3276600" cy="3200400"/>
            <wp:effectExtent l="0" t="0" r="0" b="0"/>
            <wp:docPr id="16" name="Picture 16" descr="Close up of possible barrow/ring-ditch located to the norteast of cillin">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lose up of possible barrow/ring-ditch located to the norteast of cillin">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276600" cy="3200400"/>
                    </a:xfrm>
                    <a:prstGeom prst="rect">
                      <a:avLst/>
                    </a:prstGeom>
                    <a:noFill/>
                    <a:ln>
                      <a:noFill/>
                    </a:ln>
                  </pic:spPr>
                </pic:pic>
              </a:graphicData>
            </a:graphic>
          </wp:inline>
        </w:drawing>
      </w:r>
      <w:r w:rsidRPr="005315E0">
        <w:rPr>
          <w:rFonts w:ascii="Roboto" w:eastAsia="Times New Roman" w:hAnsi="Roboto" w:cs="Times New Roman"/>
          <w:color w:val="3E3F40"/>
          <w:sz w:val="24"/>
          <w:szCs w:val="24"/>
          <w:lang w:val="en-IE" w:eastAsia="en-IE"/>
        </w:rPr>
        <w:t xml:space="preserve">Close up of possible barrow/ring-ditch located to the northeast of </w:t>
      </w:r>
      <w:proofErr w:type="spellStart"/>
      <w:r w:rsidRPr="005315E0">
        <w:rPr>
          <w:rFonts w:ascii="Roboto" w:eastAsia="Times New Roman" w:hAnsi="Roboto" w:cs="Times New Roman"/>
          <w:color w:val="3E3F40"/>
          <w:sz w:val="24"/>
          <w:szCs w:val="24"/>
          <w:lang w:val="en-IE" w:eastAsia="en-IE"/>
        </w:rPr>
        <w:t>cillin</w:t>
      </w:r>
      <w:proofErr w:type="spellEnd"/>
      <w:r w:rsidRPr="005315E0">
        <w:rPr>
          <w:rFonts w:ascii="Roboto" w:eastAsia="Times New Roman" w:hAnsi="Roboto" w:cs="Times New Roman"/>
          <w:noProof/>
          <w:color w:val="0000FF"/>
          <w:sz w:val="24"/>
          <w:szCs w:val="24"/>
          <w:lang w:val="en-IE" w:eastAsia="en-IE"/>
        </w:rPr>
        <w:drawing>
          <wp:inline distT="0" distB="0" distL="0" distR="0" wp14:anchorId="0CD27D7F" wp14:editId="02251BA0">
            <wp:extent cx="4572000" cy="2733675"/>
            <wp:effectExtent l="0" t="0" r="0" b="9525"/>
            <wp:docPr id="17" name="Picture 17" descr="Cillín mound looking northwest">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illín mound looking northwest">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72000" cy="2733675"/>
                    </a:xfrm>
                    <a:prstGeom prst="rect">
                      <a:avLst/>
                    </a:prstGeom>
                    <a:noFill/>
                    <a:ln>
                      <a:noFill/>
                    </a:ln>
                  </pic:spPr>
                </pic:pic>
              </a:graphicData>
            </a:graphic>
          </wp:inline>
        </w:drawing>
      </w:r>
      <w:proofErr w:type="spellStart"/>
      <w:r w:rsidRPr="005315E0">
        <w:rPr>
          <w:rFonts w:ascii="Roboto" w:eastAsia="Times New Roman" w:hAnsi="Roboto" w:cs="Times New Roman"/>
          <w:color w:val="3E3F40"/>
          <w:sz w:val="24"/>
          <w:szCs w:val="24"/>
          <w:lang w:val="en-IE" w:eastAsia="en-IE"/>
        </w:rPr>
        <w:t>Cillín</w:t>
      </w:r>
      <w:proofErr w:type="spellEnd"/>
      <w:r w:rsidRPr="005315E0">
        <w:rPr>
          <w:rFonts w:ascii="Roboto" w:eastAsia="Times New Roman" w:hAnsi="Roboto" w:cs="Times New Roman"/>
          <w:color w:val="3E3F40"/>
          <w:sz w:val="24"/>
          <w:szCs w:val="24"/>
          <w:lang w:val="en-IE" w:eastAsia="en-IE"/>
        </w:rPr>
        <w:t xml:space="preserve"> mound looking northwest</w:t>
      </w:r>
      <w:r w:rsidRPr="005315E0">
        <w:rPr>
          <w:rFonts w:ascii="Roboto" w:eastAsia="Times New Roman" w:hAnsi="Roboto" w:cs="Times New Roman"/>
          <w:noProof/>
          <w:color w:val="0000FF"/>
          <w:sz w:val="24"/>
          <w:szCs w:val="24"/>
          <w:lang w:val="en-IE" w:eastAsia="en-IE"/>
        </w:rPr>
        <w:lastRenderedPageBreak/>
        <w:drawing>
          <wp:inline distT="0" distB="0" distL="0" distR="0" wp14:anchorId="64A17C39" wp14:editId="22279245">
            <wp:extent cx="4572000" cy="3038475"/>
            <wp:effectExtent l="0" t="0" r="0" b="9525"/>
            <wp:docPr id="18" name="Picture 18" descr="Cillín mound looking southeast">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illín mound looking southeast">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572000" cy="3038475"/>
                    </a:xfrm>
                    <a:prstGeom prst="rect">
                      <a:avLst/>
                    </a:prstGeom>
                    <a:noFill/>
                    <a:ln>
                      <a:noFill/>
                    </a:ln>
                  </pic:spPr>
                </pic:pic>
              </a:graphicData>
            </a:graphic>
          </wp:inline>
        </w:drawing>
      </w:r>
      <w:proofErr w:type="spellStart"/>
      <w:r w:rsidRPr="005315E0">
        <w:rPr>
          <w:rFonts w:ascii="Roboto" w:eastAsia="Times New Roman" w:hAnsi="Roboto" w:cs="Times New Roman"/>
          <w:color w:val="3E3F40"/>
          <w:sz w:val="24"/>
          <w:szCs w:val="24"/>
          <w:lang w:val="en-IE" w:eastAsia="en-IE"/>
        </w:rPr>
        <w:t>Cillín</w:t>
      </w:r>
      <w:proofErr w:type="spellEnd"/>
      <w:r w:rsidRPr="005315E0">
        <w:rPr>
          <w:rFonts w:ascii="Roboto" w:eastAsia="Times New Roman" w:hAnsi="Roboto" w:cs="Times New Roman"/>
          <w:color w:val="3E3F40"/>
          <w:sz w:val="24"/>
          <w:szCs w:val="24"/>
          <w:lang w:val="en-IE" w:eastAsia="en-IE"/>
        </w:rPr>
        <w:t xml:space="preserve"> mound looking southeast</w:t>
      </w:r>
    </w:p>
    <w:p w14:paraId="299C9059" w14:textId="77777777" w:rsidR="005315E0" w:rsidRPr="005315E0" w:rsidRDefault="005315E0" w:rsidP="005315E0">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5315E0">
        <w:rPr>
          <w:rFonts w:ascii="Roboto" w:eastAsia="Times New Roman" w:hAnsi="Roboto" w:cs="Times New Roman"/>
          <w:b/>
          <w:bCs/>
          <w:color w:val="3E3F40"/>
          <w:sz w:val="24"/>
          <w:szCs w:val="24"/>
          <w:lang w:val="en-IE" w:eastAsia="en-IE"/>
        </w:rPr>
        <w:t>Note 1</w:t>
      </w:r>
    </w:p>
    <w:p w14:paraId="765A64F8" w14:textId="77777777" w:rsidR="005315E0" w:rsidRPr="005315E0" w:rsidRDefault="005315E0" w:rsidP="005315E0">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proofErr w:type="spellStart"/>
      <w:r w:rsidRPr="005315E0">
        <w:rPr>
          <w:rFonts w:ascii="Roboto" w:eastAsia="Times New Roman" w:hAnsi="Roboto" w:cs="Times New Roman"/>
          <w:color w:val="3E3F40"/>
          <w:sz w:val="24"/>
          <w:szCs w:val="24"/>
          <w:lang w:val="en-IE" w:eastAsia="en-IE"/>
        </w:rPr>
        <w:t>Crisha</w:t>
      </w:r>
      <w:proofErr w:type="spellEnd"/>
      <w:r w:rsidRPr="005315E0">
        <w:rPr>
          <w:rFonts w:ascii="Roboto" w:eastAsia="Times New Roman" w:hAnsi="Roboto" w:cs="Times New Roman"/>
          <w:color w:val="3E3F40"/>
          <w:sz w:val="24"/>
          <w:szCs w:val="24"/>
          <w:lang w:val="en-IE" w:eastAsia="en-IE"/>
        </w:rPr>
        <w:t xml:space="preserve"> probably represents the </w:t>
      </w:r>
      <w:proofErr w:type="spellStart"/>
      <w:r w:rsidRPr="005315E0">
        <w:rPr>
          <w:rFonts w:ascii="Roboto" w:eastAsia="Times New Roman" w:hAnsi="Roboto" w:cs="Times New Roman"/>
          <w:color w:val="3E3F40"/>
          <w:sz w:val="24"/>
          <w:szCs w:val="24"/>
          <w:lang w:val="en-IE" w:eastAsia="en-IE"/>
        </w:rPr>
        <w:t>tuiseal</w:t>
      </w:r>
      <w:proofErr w:type="spellEnd"/>
      <w:r w:rsidRPr="005315E0">
        <w:rPr>
          <w:rFonts w:ascii="Roboto" w:eastAsia="Times New Roman" w:hAnsi="Roboto" w:cs="Times New Roman"/>
          <w:color w:val="3E3F40"/>
          <w:sz w:val="24"/>
          <w:szCs w:val="24"/>
          <w:lang w:val="en-IE" w:eastAsia="en-IE"/>
        </w:rPr>
        <w:t xml:space="preserve"> </w:t>
      </w:r>
      <w:proofErr w:type="spellStart"/>
      <w:r w:rsidRPr="005315E0">
        <w:rPr>
          <w:rFonts w:ascii="Roboto" w:eastAsia="Times New Roman" w:hAnsi="Roboto" w:cs="Times New Roman"/>
          <w:color w:val="3E3F40"/>
          <w:sz w:val="24"/>
          <w:szCs w:val="24"/>
          <w:lang w:val="en-IE" w:eastAsia="en-IE"/>
        </w:rPr>
        <w:t>ginealdach</w:t>
      </w:r>
      <w:proofErr w:type="spellEnd"/>
      <w:r w:rsidRPr="005315E0">
        <w:rPr>
          <w:rFonts w:ascii="Roboto" w:eastAsia="Times New Roman" w:hAnsi="Roboto" w:cs="Times New Roman"/>
          <w:color w:val="3E3F40"/>
          <w:sz w:val="24"/>
          <w:szCs w:val="24"/>
          <w:lang w:val="en-IE" w:eastAsia="en-IE"/>
        </w:rPr>
        <w:t xml:space="preserve"> </w:t>
      </w:r>
      <w:proofErr w:type="spellStart"/>
      <w:r w:rsidRPr="005315E0">
        <w:rPr>
          <w:rFonts w:ascii="Roboto" w:eastAsia="Times New Roman" w:hAnsi="Roboto" w:cs="Times New Roman"/>
          <w:color w:val="3E3F40"/>
          <w:sz w:val="24"/>
          <w:szCs w:val="24"/>
          <w:lang w:val="en-IE" w:eastAsia="en-IE"/>
        </w:rPr>
        <w:t>verion</w:t>
      </w:r>
      <w:proofErr w:type="spellEnd"/>
      <w:r w:rsidRPr="005315E0">
        <w:rPr>
          <w:rFonts w:ascii="Roboto" w:eastAsia="Times New Roman" w:hAnsi="Roboto" w:cs="Times New Roman"/>
          <w:color w:val="3E3F40"/>
          <w:sz w:val="24"/>
          <w:szCs w:val="24"/>
          <w:lang w:val="en-IE" w:eastAsia="en-IE"/>
        </w:rPr>
        <w:t xml:space="preserve"> of the Irish word for a cross (</w:t>
      </w:r>
      <w:proofErr w:type="spellStart"/>
      <w:r w:rsidRPr="005315E0">
        <w:rPr>
          <w:rFonts w:ascii="Roboto" w:eastAsia="Times New Roman" w:hAnsi="Roboto" w:cs="Times New Roman"/>
          <w:color w:val="3E3F40"/>
          <w:sz w:val="24"/>
          <w:szCs w:val="24"/>
          <w:lang w:val="en-IE" w:eastAsia="en-IE"/>
        </w:rPr>
        <w:t>croise</w:t>
      </w:r>
      <w:proofErr w:type="spellEnd"/>
      <w:r w:rsidRPr="005315E0">
        <w:rPr>
          <w:rFonts w:ascii="Roboto" w:eastAsia="Times New Roman" w:hAnsi="Roboto" w:cs="Times New Roman"/>
          <w:color w:val="3E3F40"/>
          <w:sz w:val="24"/>
          <w:szCs w:val="24"/>
          <w:lang w:val="en-IE" w:eastAsia="en-IE"/>
        </w:rPr>
        <w:t xml:space="preserve">), which suggests that </w:t>
      </w:r>
      <w:proofErr w:type="spellStart"/>
      <w:r w:rsidRPr="005315E0">
        <w:rPr>
          <w:rFonts w:ascii="Roboto" w:eastAsia="Times New Roman" w:hAnsi="Roboto" w:cs="Times New Roman"/>
          <w:color w:val="3E3F40"/>
          <w:sz w:val="24"/>
          <w:szCs w:val="24"/>
          <w:lang w:val="en-IE" w:eastAsia="en-IE"/>
        </w:rPr>
        <w:t>Crisha</w:t>
      </w:r>
      <w:proofErr w:type="spellEnd"/>
      <w:r w:rsidRPr="005315E0">
        <w:rPr>
          <w:rFonts w:ascii="Roboto" w:eastAsia="Times New Roman" w:hAnsi="Roboto" w:cs="Times New Roman"/>
          <w:color w:val="3E3F40"/>
          <w:sz w:val="24"/>
          <w:szCs w:val="24"/>
          <w:lang w:val="en-IE" w:eastAsia="en-IE"/>
        </w:rPr>
        <w:t xml:space="preserve"> was </w:t>
      </w:r>
      <w:proofErr w:type="spellStart"/>
      <w:r w:rsidRPr="005315E0">
        <w:rPr>
          <w:rFonts w:ascii="Roboto" w:eastAsia="Times New Roman" w:hAnsi="Roboto" w:cs="Times New Roman"/>
          <w:color w:val="3E3F40"/>
          <w:sz w:val="24"/>
          <w:szCs w:val="24"/>
          <w:lang w:val="en-IE" w:eastAsia="en-IE"/>
        </w:rPr>
        <w:t>orginally</w:t>
      </w:r>
      <w:proofErr w:type="spellEnd"/>
      <w:r w:rsidRPr="005315E0">
        <w:rPr>
          <w:rFonts w:ascii="Roboto" w:eastAsia="Times New Roman" w:hAnsi="Roboto" w:cs="Times New Roman"/>
          <w:color w:val="3E3F40"/>
          <w:sz w:val="24"/>
          <w:szCs w:val="24"/>
          <w:lang w:val="en-IE" w:eastAsia="en-IE"/>
        </w:rPr>
        <w:t xml:space="preserve"> preceded by a noun, which has since been forgotten. It’s </w:t>
      </w:r>
      <w:proofErr w:type="spellStart"/>
      <w:r w:rsidRPr="005315E0">
        <w:rPr>
          <w:rFonts w:ascii="Roboto" w:eastAsia="Times New Roman" w:hAnsi="Roboto" w:cs="Times New Roman"/>
          <w:color w:val="3E3F40"/>
          <w:sz w:val="24"/>
          <w:szCs w:val="24"/>
          <w:lang w:val="en-IE" w:eastAsia="en-IE"/>
        </w:rPr>
        <w:t>posssible</w:t>
      </w:r>
      <w:proofErr w:type="spellEnd"/>
      <w:r w:rsidRPr="005315E0">
        <w:rPr>
          <w:rFonts w:ascii="Roboto" w:eastAsia="Times New Roman" w:hAnsi="Roboto" w:cs="Times New Roman"/>
          <w:color w:val="3E3F40"/>
          <w:sz w:val="24"/>
          <w:szCs w:val="24"/>
          <w:lang w:val="en-IE" w:eastAsia="en-IE"/>
        </w:rPr>
        <w:t xml:space="preserve"> that the </w:t>
      </w:r>
      <w:proofErr w:type="spellStart"/>
      <w:r w:rsidRPr="005315E0">
        <w:rPr>
          <w:rFonts w:ascii="Roboto" w:eastAsia="Times New Roman" w:hAnsi="Roboto" w:cs="Times New Roman"/>
          <w:color w:val="3E3F40"/>
          <w:sz w:val="24"/>
          <w:szCs w:val="24"/>
          <w:lang w:val="en-IE" w:eastAsia="en-IE"/>
        </w:rPr>
        <w:t>orginal</w:t>
      </w:r>
      <w:proofErr w:type="spellEnd"/>
      <w:r w:rsidRPr="005315E0">
        <w:rPr>
          <w:rFonts w:ascii="Roboto" w:eastAsia="Times New Roman" w:hAnsi="Roboto" w:cs="Times New Roman"/>
          <w:color w:val="3E3F40"/>
          <w:sz w:val="24"/>
          <w:szCs w:val="24"/>
          <w:lang w:val="en-IE" w:eastAsia="en-IE"/>
        </w:rPr>
        <w:t xml:space="preserve"> name of the graveyard was ‘</w:t>
      </w:r>
      <w:proofErr w:type="spellStart"/>
      <w:r w:rsidRPr="005315E0">
        <w:rPr>
          <w:rFonts w:ascii="Roboto" w:eastAsia="Times New Roman" w:hAnsi="Roboto" w:cs="Times New Roman"/>
          <w:color w:val="3E3F40"/>
          <w:sz w:val="24"/>
          <w:szCs w:val="24"/>
          <w:lang w:val="en-IE" w:eastAsia="en-IE"/>
        </w:rPr>
        <w:t>cillin</w:t>
      </w:r>
      <w:proofErr w:type="spellEnd"/>
      <w:r w:rsidRPr="005315E0">
        <w:rPr>
          <w:rFonts w:ascii="Roboto" w:eastAsia="Times New Roman" w:hAnsi="Roboto" w:cs="Times New Roman"/>
          <w:color w:val="3E3F40"/>
          <w:sz w:val="24"/>
          <w:szCs w:val="24"/>
          <w:lang w:val="en-IE" w:eastAsia="en-IE"/>
        </w:rPr>
        <w:t xml:space="preserve"> </w:t>
      </w:r>
      <w:proofErr w:type="spellStart"/>
      <w:r w:rsidRPr="005315E0">
        <w:rPr>
          <w:rFonts w:ascii="Roboto" w:eastAsia="Times New Roman" w:hAnsi="Roboto" w:cs="Times New Roman"/>
          <w:color w:val="3E3F40"/>
          <w:sz w:val="24"/>
          <w:szCs w:val="24"/>
          <w:lang w:val="en-IE" w:eastAsia="en-IE"/>
        </w:rPr>
        <w:t>croise</w:t>
      </w:r>
      <w:proofErr w:type="spellEnd"/>
      <w:r w:rsidRPr="005315E0">
        <w:rPr>
          <w:rFonts w:ascii="Roboto" w:eastAsia="Times New Roman" w:hAnsi="Roboto" w:cs="Times New Roman"/>
          <w:color w:val="3E3F40"/>
          <w:sz w:val="24"/>
          <w:szCs w:val="24"/>
          <w:lang w:val="en-IE" w:eastAsia="en-IE"/>
        </w:rPr>
        <w:t xml:space="preserve"> vale’, with the meaning of vale still uncertain.</w:t>
      </w:r>
    </w:p>
    <w:p w14:paraId="04E0789B" w14:textId="77777777" w:rsidR="005315E0" w:rsidRPr="005315E0" w:rsidRDefault="005315E0" w:rsidP="005315E0">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5315E0">
        <w:rPr>
          <w:rFonts w:ascii="Roboto" w:eastAsia="Times New Roman" w:hAnsi="Roboto" w:cs="Times New Roman"/>
          <w:b/>
          <w:bCs/>
          <w:i/>
          <w:iCs/>
          <w:color w:val="3E3F40"/>
          <w:sz w:val="24"/>
          <w:szCs w:val="24"/>
          <w:lang w:val="en-IE" w:eastAsia="en-IE"/>
        </w:rPr>
        <w:t>References</w:t>
      </w:r>
    </w:p>
    <w:p w14:paraId="327F8530" w14:textId="77777777" w:rsidR="005315E0" w:rsidRPr="005315E0" w:rsidRDefault="005315E0" w:rsidP="005315E0">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5315E0">
        <w:rPr>
          <w:rFonts w:ascii="Roboto" w:eastAsia="Times New Roman" w:hAnsi="Roboto" w:cs="Times New Roman"/>
          <w:color w:val="3E3F40"/>
          <w:sz w:val="24"/>
          <w:szCs w:val="24"/>
          <w:lang w:val="en-IE" w:eastAsia="en-IE"/>
        </w:rPr>
        <w:t xml:space="preserve">Donnelly, C. &amp; Murphy E. 2008. The Origins of </w:t>
      </w:r>
      <w:proofErr w:type="spellStart"/>
      <w:r w:rsidRPr="005315E0">
        <w:rPr>
          <w:rFonts w:ascii="Roboto" w:eastAsia="Times New Roman" w:hAnsi="Roboto" w:cs="Times New Roman"/>
          <w:color w:val="3E3F40"/>
          <w:sz w:val="24"/>
          <w:szCs w:val="24"/>
          <w:lang w:val="en-IE" w:eastAsia="en-IE"/>
        </w:rPr>
        <w:t>Cilliní</w:t>
      </w:r>
      <w:proofErr w:type="spellEnd"/>
      <w:r w:rsidRPr="005315E0">
        <w:rPr>
          <w:rFonts w:ascii="Roboto" w:eastAsia="Times New Roman" w:hAnsi="Roboto" w:cs="Times New Roman"/>
          <w:color w:val="3E3F40"/>
          <w:sz w:val="24"/>
          <w:szCs w:val="24"/>
          <w:lang w:val="en-IE" w:eastAsia="en-IE"/>
        </w:rPr>
        <w:t>. Archaeology Ireland, Vol. 22, No. 3, pp. 26-29</w:t>
      </w:r>
    </w:p>
    <w:p w14:paraId="612542B9" w14:textId="77777777" w:rsidR="005315E0" w:rsidRPr="005315E0" w:rsidRDefault="005315E0" w:rsidP="005315E0">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5315E0">
        <w:rPr>
          <w:rFonts w:ascii="Roboto" w:eastAsia="Times New Roman" w:hAnsi="Roboto" w:cs="Times New Roman"/>
          <w:color w:val="3E3F40"/>
          <w:sz w:val="24"/>
          <w:szCs w:val="24"/>
          <w:lang w:val="en-IE" w:eastAsia="en-IE"/>
        </w:rPr>
        <w:t xml:space="preserve">Donnelly, S. et al. 1999. The Forgotten Dead: The </w:t>
      </w:r>
      <w:proofErr w:type="spellStart"/>
      <w:r w:rsidRPr="005315E0">
        <w:rPr>
          <w:rFonts w:ascii="Roboto" w:eastAsia="Times New Roman" w:hAnsi="Roboto" w:cs="Times New Roman"/>
          <w:color w:val="3E3F40"/>
          <w:sz w:val="24"/>
          <w:szCs w:val="24"/>
          <w:lang w:val="en-IE" w:eastAsia="en-IE"/>
        </w:rPr>
        <w:t>cilliní</w:t>
      </w:r>
      <w:proofErr w:type="spellEnd"/>
      <w:r w:rsidRPr="005315E0">
        <w:rPr>
          <w:rFonts w:ascii="Roboto" w:eastAsia="Times New Roman" w:hAnsi="Roboto" w:cs="Times New Roman"/>
          <w:color w:val="3E3F40"/>
          <w:sz w:val="24"/>
          <w:szCs w:val="24"/>
          <w:lang w:val="en-IE" w:eastAsia="en-IE"/>
        </w:rPr>
        <w:t xml:space="preserve"> and Disused Burial Grounds of Ballintoy, County Antrim, Ulster Journal of Archaeology, Third Series, Vol. 58, pp. 109-113</w:t>
      </w:r>
    </w:p>
    <w:p w14:paraId="6D7DAD90" w14:textId="77777777" w:rsidR="005315E0" w:rsidRPr="005315E0" w:rsidRDefault="005315E0" w:rsidP="005315E0">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5315E0">
        <w:rPr>
          <w:rFonts w:ascii="Roboto" w:eastAsia="Times New Roman" w:hAnsi="Roboto" w:cs="Times New Roman"/>
          <w:color w:val="3E3F40"/>
          <w:sz w:val="24"/>
          <w:szCs w:val="24"/>
          <w:lang w:val="en-IE" w:eastAsia="en-IE"/>
        </w:rPr>
        <w:t xml:space="preserve">Finlay, N. 2000. Outside of Life: Traditions of Infant Burial in Ireland from </w:t>
      </w:r>
      <w:proofErr w:type="spellStart"/>
      <w:r w:rsidRPr="005315E0">
        <w:rPr>
          <w:rFonts w:ascii="Roboto" w:eastAsia="Times New Roman" w:hAnsi="Roboto" w:cs="Times New Roman"/>
          <w:color w:val="3E3F40"/>
          <w:sz w:val="24"/>
          <w:szCs w:val="24"/>
          <w:lang w:val="en-IE" w:eastAsia="en-IE"/>
        </w:rPr>
        <w:t>Cillin</w:t>
      </w:r>
      <w:proofErr w:type="spellEnd"/>
      <w:r w:rsidRPr="005315E0">
        <w:rPr>
          <w:rFonts w:ascii="Roboto" w:eastAsia="Times New Roman" w:hAnsi="Roboto" w:cs="Times New Roman"/>
          <w:color w:val="3E3F40"/>
          <w:sz w:val="24"/>
          <w:szCs w:val="24"/>
          <w:lang w:val="en-IE" w:eastAsia="en-IE"/>
        </w:rPr>
        <w:t xml:space="preserve"> to </w:t>
      </w:r>
      <w:proofErr w:type="spellStart"/>
      <w:r w:rsidRPr="005315E0">
        <w:rPr>
          <w:rFonts w:ascii="Roboto" w:eastAsia="Times New Roman" w:hAnsi="Roboto" w:cs="Times New Roman"/>
          <w:color w:val="3E3F40"/>
          <w:sz w:val="24"/>
          <w:szCs w:val="24"/>
          <w:lang w:val="en-IE" w:eastAsia="en-IE"/>
        </w:rPr>
        <w:t>Cist.World</w:t>
      </w:r>
      <w:proofErr w:type="spellEnd"/>
      <w:r w:rsidRPr="005315E0">
        <w:rPr>
          <w:rFonts w:ascii="Roboto" w:eastAsia="Times New Roman" w:hAnsi="Roboto" w:cs="Times New Roman"/>
          <w:color w:val="3E3F40"/>
          <w:sz w:val="24"/>
          <w:szCs w:val="24"/>
          <w:lang w:val="en-IE" w:eastAsia="en-IE"/>
        </w:rPr>
        <w:t xml:space="preserve"> Archaeology, Vol. 31, No. 3, Human Lifecycle, pp. 407-422</w:t>
      </w:r>
    </w:p>
    <w:p w14:paraId="09785EE8" w14:textId="77777777" w:rsidR="005D1480" w:rsidRDefault="005D1480"/>
    <w:sectPr w:rsidR="005D148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oto Sans">
    <w:charset w:val="00"/>
    <w:family w:val="swiss"/>
    <w:pitch w:val="variable"/>
    <w:sig w:usb0="E00002FF" w:usb1="4000001F" w:usb2="08000029" w:usb3="00000000" w:csb0="00000001" w:csb1="00000000"/>
  </w:font>
  <w:font w:name="Roboto">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15E0"/>
    <w:rsid w:val="005315E0"/>
    <w:rsid w:val="005D1480"/>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8FE1E4"/>
  <w15:chartTrackingRefBased/>
  <w15:docId w15:val="{486ECAFC-5A48-4696-B7B5-7036CDD7BF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2856338">
      <w:bodyDiv w:val="1"/>
      <w:marLeft w:val="0"/>
      <w:marRight w:val="0"/>
      <w:marTop w:val="0"/>
      <w:marBottom w:val="0"/>
      <w:divBdr>
        <w:top w:val="none" w:sz="0" w:space="0" w:color="auto"/>
        <w:left w:val="none" w:sz="0" w:space="0" w:color="auto"/>
        <w:bottom w:val="none" w:sz="0" w:space="0" w:color="auto"/>
        <w:right w:val="none" w:sz="0" w:space="0" w:color="auto"/>
      </w:divBdr>
      <w:divsChild>
        <w:div w:id="1539047564">
          <w:marLeft w:val="0"/>
          <w:marRight w:val="0"/>
          <w:marTop w:val="0"/>
          <w:marBottom w:val="0"/>
          <w:divBdr>
            <w:top w:val="none" w:sz="0" w:space="0" w:color="auto"/>
            <w:left w:val="none" w:sz="0" w:space="0" w:color="auto"/>
            <w:bottom w:val="none" w:sz="0" w:space="0" w:color="auto"/>
            <w:right w:val="none" w:sz="0" w:space="0" w:color="auto"/>
          </w:divBdr>
          <w:divsChild>
            <w:div w:id="1276987186">
              <w:marLeft w:val="-2700"/>
              <w:marRight w:val="-2700"/>
              <w:marTop w:val="360"/>
              <w:marBottom w:val="360"/>
              <w:divBdr>
                <w:top w:val="none" w:sz="0" w:space="0" w:color="auto"/>
                <w:left w:val="none" w:sz="0" w:space="0" w:color="auto"/>
                <w:bottom w:val="none" w:sz="0" w:space="0" w:color="auto"/>
                <w:right w:val="none" w:sz="0" w:space="0" w:color="auto"/>
              </w:divBdr>
            </w:div>
          </w:divsChild>
        </w:div>
        <w:div w:id="2096785404">
          <w:marLeft w:val="0"/>
          <w:marRight w:val="0"/>
          <w:marTop w:val="0"/>
          <w:marBottom w:val="63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Limbo" TargetMode="External"/><Relationship Id="rId13" Type="http://schemas.openxmlformats.org/officeDocument/2006/relationships/hyperlink" Target="https://breeheritageproject.files.wordpress.com/2014/02/ballymorris-barrow.jpg" TargetMode="External"/><Relationship Id="rId18" Type="http://schemas.openxmlformats.org/officeDocument/2006/relationships/image" Target="media/image6.jpeg"/><Relationship Id="rId3" Type="http://schemas.openxmlformats.org/officeDocument/2006/relationships/webSettings" Target="webSettings.xml"/><Relationship Id="rId7" Type="http://schemas.openxmlformats.org/officeDocument/2006/relationships/hyperlink" Target="http://en.wikipedia.org/wiki/Council_of_Trent" TargetMode="External"/><Relationship Id="rId12" Type="http://schemas.openxmlformats.org/officeDocument/2006/relationships/hyperlink" Target="http://en.wikipedia.org/wiki/Cropmark" TargetMode="External"/><Relationship Id="rId17" Type="http://schemas.openxmlformats.org/officeDocument/2006/relationships/hyperlink" Target="https://breeheritageproject.files.wordpress.com/2014/02/ballymorris-5.jpg" TargetMode="External"/><Relationship Id="rId2" Type="http://schemas.openxmlformats.org/officeDocument/2006/relationships/settings" Target="settings.xml"/><Relationship Id="rId16" Type="http://schemas.openxmlformats.org/officeDocument/2006/relationships/image" Target="media/image5.jpe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3.jpeg"/><Relationship Id="rId5" Type="http://schemas.openxmlformats.org/officeDocument/2006/relationships/hyperlink" Target="https://breeheritageproject.files.wordpress.com/2014/02/ballymorris-2.jpg" TargetMode="External"/><Relationship Id="rId15" Type="http://schemas.openxmlformats.org/officeDocument/2006/relationships/hyperlink" Target="https://breeheritageproject.files.wordpress.com/2014/02/ballymorris-4-001.jpg" TargetMode="External"/><Relationship Id="rId10" Type="http://schemas.openxmlformats.org/officeDocument/2006/relationships/hyperlink" Target="https://breeheritageproject.files.wordpress.com/2014/02/ballymorris-3.jpg" TargetMode="External"/><Relationship Id="rId19"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hyperlink" Target="http://en.wikipedia.org/wiki/Limbo" TargetMode="External"/><Relationship Id="rId1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801</Words>
  <Characters>4568</Characters>
  <Application>Microsoft Office Word</Application>
  <DocSecurity>0</DocSecurity>
  <Lines>38</Lines>
  <Paragraphs>10</Paragraphs>
  <ScaleCrop>false</ScaleCrop>
  <Company/>
  <LinksUpToDate>false</LinksUpToDate>
  <CharactersWithSpaces>5359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V Carr</dc:creator>
  <cp:keywords/>
  <dc:description/>
  <cp:lastModifiedBy>John V Carr</cp:lastModifiedBy>
  <cp:revision>1</cp:revision>
  <dcterms:created xsi:type="dcterms:W3CDTF">2022-05-23T09:55:00Z</dcterms:created>
  <dcterms:modified xsi:type="dcterms:W3CDTF">2022-05-23T09:55:00Z</dcterms:modified>
</cp:coreProperties>
</file>